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F1C5" w14:textId="77777777" w:rsidR="00880B8E" w:rsidRDefault="00000000">
      <w:pPr>
        <w:pStyle w:val="Body"/>
      </w:pPr>
      <w:r>
        <w:t>CLDN18.2 Reporting Template</w:t>
      </w:r>
    </w:p>
    <w:p w14:paraId="4BF512EB" w14:textId="77777777" w:rsidR="00880B8E" w:rsidRDefault="00880B8E">
      <w:pPr>
        <w:pStyle w:val="Body"/>
      </w:pPr>
    </w:p>
    <w:p w14:paraId="13E3A10F" w14:textId="77777777" w:rsidR="00880B8E" w:rsidRDefault="00000000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CLDN18.2 Reporting Status by IHC</w:t>
      </w:r>
    </w:p>
    <w:p w14:paraId="1EA66E34" w14:textId="77777777" w:rsidR="00880B8E" w:rsidRDefault="00880B8E">
      <w:pPr>
        <w:pStyle w:val="Body"/>
      </w:pPr>
    </w:p>
    <w:p w14:paraId="71DE8BBE" w14:textId="77777777" w:rsidR="00880B8E" w:rsidRDefault="00000000">
      <w:pPr>
        <w:pStyle w:val="Body"/>
      </w:pPr>
      <w:r>
        <w:t xml:space="preserve">Developed collaboratively by the CLDN18.2 Expert Committee, the following template can help you generate and integrate CLDN18.2 reporting into your </w:t>
      </w:r>
      <w:proofErr w:type="spellStart"/>
      <w:r>
        <w:t>curr</w:t>
      </w:r>
      <w:r>
        <w:rPr>
          <w:lang w:val="fr-FR"/>
        </w:rPr>
        <w:t>ent</w:t>
      </w:r>
      <w:proofErr w:type="spellEnd"/>
      <w:r>
        <w:rPr>
          <w:lang w:val="fr-FR"/>
        </w:rPr>
        <w:t xml:space="preserve"> protoc</w:t>
      </w:r>
      <w:r>
        <w:t>o</w:t>
      </w:r>
      <w:r>
        <w:rPr>
          <w:lang w:val="pt-PT"/>
        </w:rPr>
        <w:t>ls.</w:t>
      </w:r>
    </w:p>
    <w:p w14:paraId="01A3E37A" w14:textId="77777777" w:rsidR="00880B8E" w:rsidRDefault="00880B8E">
      <w:pPr>
        <w:pStyle w:val="Body"/>
      </w:pPr>
    </w:p>
    <w:p w14:paraId="075A5E92" w14:textId="77777777" w:rsidR="00880B8E" w:rsidRDefault="00000000">
      <w:pPr>
        <w:pStyle w:val="Body"/>
        <w:rPr>
          <w:b/>
          <w:bCs/>
        </w:rPr>
      </w:pPr>
      <w:r>
        <w:rPr>
          <w:b/>
          <w:bCs/>
        </w:rPr>
        <w:t>Scoring algorithm</w:t>
      </w:r>
    </w:p>
    <w:p w14:paraId="30EAB0B4" w14:textId="77777777" w:rsidR="00880B8E" w:rsidRDefault="00000000">
      <w:pPr>
        <w:pStyle w:val="Body"/>
      </w:pPr>
      <w:r>
        <w:t xml:space="preserve">Percentage of </w:t>
      </w:r>
      <w:proofErr w:type="spellStart"/>
      <w:r>
        <w:t>tumour</w:t>
      </w:r>
      <w:proofErr w:type="spellEnd"/>
      <w:r>
        <w:t xml:space="preserve"> cells demonstrating moderate-to-strong (2+/3+) membranous CLDN18-specific staining.</w:t>
      </w:r>
    </w:p>
    <w:p w14:paraId="3689A812" w14:textId="77777777" w:rsidR="00880B8E" w:rsidRDefault="00880B8E">
      <w:pPr>
        <w:pStyle w:val="Body"/>
      </w:pPr>
    </w:p>
    <w:p w14:paraId="5A017EFC" w14:textId="77777777" w:rsidR="00880B8E" w:rsidRDefault="00880B8E">
      <w:pPr>
        <w:pStyle w:val="Body"/>
      </w:pPr>
    </w:p>
    <w:p w14:paraId="067173E0" w14:textId="77777777" w:rsidR="00880B8E" w:rsidRDefault="00000000">
      <w:pPr>
        <w:pStyle w:val="Body"/>
        <w:rPr>
          <w:b/>
          <w:bCs/>
        </w:rPr>
      </w:pPr>
      <w:r>
        <w:rPr>
          <w:b/>
          <w:bCs/>
        </w:rPr>
        <w:t xml:space="preserve">Percentage of </w:t>
      </w:r>
      <w:proofErr w:type="spellStart"/>
      <w:r>
        <w:rPr>
          <w:b/>
          <w:bCs/>
        </w:rPr>
        <w:t>tumour</w:t>
      </w:r>
      <w:proofErr w:type="spellEnd"/>
      <w:r>
        <w:rPr>
          <w:b/>
          <w:bCs/>
        </w:rPr>
        <w:t xml:space="preserve"> cells with membranous staining</w:t>
      </w:r>
    </w:p>
    <w:p w14:paraId="4977022F" w14:textId="77777777" w:rsidR="00880B8E" w:rsidRDefault="00880B8E">
      <w:pPr>
        <w:pStyle w:val="Body"/>
      </w:pPr>
    </w:p>
    <w:p w14:paraId="759BAC8C" w14:textId="77777777" w:rsidR="00880B8E" w:rsidRDefault="00000000">
      <w:pPr>
        <w:pStyle w:val="Body"/>
      </w:pPr>
      <w:proofErr w:type="spellStart"/>
      <w:r>
        <w:t>Tumour</w:t>
      </w:r>
      <w:proofErr w:type="spellEnd"/>
      <w:r>
        <w:t xml:space="preserve"> cells with moderate staining (2+):  ____________</w:t>
      </w:r>
    </w:p>
    <w:p w14:paraId="70377124" w14:textId="77777777" w:rsidR="00880B8E" w:rsidRDefault="00880B8E">
      <w:pPr>
        <w:pStyle w:val="Body"/>
      </w:pPr>
    </w:p>
    <w:p w14:paraId="19FC5CB4" w14:textId="77777777" w:rsidR="00880B8E" w:rsidRDefault="00000000">
      <w:pPr>
        <w:pStyle w:val="Body"/>
      </w:pPr>
      <w:proofErr w:type="spellStart"/>
      <w:r>
        <w:t>Tumour</w:t>
      </w:r>
      <w:proofErr w:type="spellEnd"/>
      <w:r>
        <w:t xml:space="preserve"> cells with strong staining (3+):  ____________</w:t>
      </w:r>
    </w:p>
    <w:p w14:paraId="017D2B27" w14:textId="77777777" w:rsidR="00880B8E" w:rsidRDefault="00880B8E">
      <w:pPr>
        <w:pStyle w:val="Body"/>
      </w:pPr>
    </w:p>
    <w:p w14:paraId="39ED2EC4" w14:textId="77777777" w:rsidR="00880B8E" w:rsidRDefault="00000000">
      <w:pPr>
        <w:pStyle w:val="Body"/>
        <w:rPr>
          <w:sz w:val="18"/>
          <w:szCs w:val="18"/>
        </w:rPr>
      </w:pPr>
      <w:r>
        <w:t xml:space="preserve">Total </w:t>
      </w:r>
      <w:proofErr w:type="spellStart"/>
      <w:r>
        <w:t>tumour</w:t>
      </w:r>
      <w:proofErr w:type="spellEnd"/>
      <w:r>
        <w:t xml:space="preserve"> cells with moderate-to-strong (2+/3+) staining:  ____________ </w:t>
      </w:r>
      <w:r>
        <w:rPr>
          <w:i/>
          <w:iCs/>
          <w:sz w:val="18"/>
          <w:szCs w:val="18"/>
        </w:rPr>
        <w:t>(Sum of 2 lines above)</w:t>
      </w:r>
    </w:p>
    <w:p w14:paraId="5B27E680" w14:textId="77777777" w:rsidR="00880B8E" w:rsidRDefault="00880B8E">
      <w:pPr>
        <w:pStyle w:val="Body"/>
      </w:pPr>
    </w:p>
    <w:p w14:paraId="24C2A4E1" w14:textId="77777777" w:rsidR="00880B8E" w:rsidRDefault="00880B8E">
      <w:pPr>
        <w:pStyle w:val="Body"/>
      </w:pPr>
    </w:p>
    <w:p w14:paraId="5A3C0030" w14:textId="77777777" w:rsidR="00880B8E" w:rsidRDefault="00000000">
      <w:pPr>
        <w:pStyle w:val="Body"/>
        <w:rPr>
          <w:b/>
          <w:bCs/>
        </w:rPr>
      </w:pPr>
      <w:r>
        <w:rPr>
          <w:b/>
          <w:bCs/>
        </w:rPr>
        <w:t>CLDN18.2 status</w:t>
      </w:r>
    </w:p>
    <w:p w14:paraId="4AE010F9" w14:textId="77777777" w:rsidR="00880B8E" w:rsidRDefault="00000000">
      <w:pPr>
        <w:pStyle w:val="Body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(Select one)</w:t>
      </w:r>
    </w:p>
    <w:p w14:paraId="10F7EAA4" w14:textId="77777777" w:rsidR="00880B8E" w:rsidRDefault="00880B8E">
      <w:pPr>
        <w:pStyle w:val="Body"/>
      </w:pPr>
    </w:p>
    <w:p w14:paraId="11F14250" w14:textId="03D2FFFA" w:rsidR="00880B8E" w:rsidRDefault="00000000">
      <w:pPr>
        <w:pStyle w:val="Body"/>
      </w:pPr>
      <w:r>
        <w:t>____ Inconclusive</w:t>
      </w:r>
    </w:p>
    <w:p w14:paraId="6F89BB65" w14:textId="50B2D995" w:rsidR="00880B8E" w:rsidRDefault="00000000">
      <w:pPr>
        <w:pStyle w:val="Body"/>
      </w:pPr>
      <w:r>
        <w:t xml:space="preserve">____ Positive </w:t>
      </w:r>
      <w:r>
        <w:rPr>
          <w:sz w:val="18"/>
          <w:szCs w:val="18"/>
        </w:rPr>
        <w:t xml:space="preserve">(≥75% </w:t>
      </w:r>
      <w:proofErr w:type="spellStart"/>
      <w:r>
        <w:rPr>
          <w:sz w:val="18"/>
          <w:szCs w:val="18"/>
        </w:rPr>
        <w:t>tumour</w:t>
      </w:r>
      <w:proofErr w:type="spellEnd"/>
      <w:r>
        <w:rPr>
          <w:sz w:val="18"/>
          <w:szCs w:val="18"/>
        </w:rPr>
        <w:t xml:space="preserve"> staining)</w:t>
      </w:r>
    </w:p>
    <w:p w14:paraId="11E704B6" w14:textId="78521912" w:rsidR="00880B8E" w:rsidRDefault="00000000">
      <w:pPr>
        <w:pStyle w:val="Body"/>
      </w:pPr>
      <w:r>
        <w:t xml:space="preserve">____ Negative </w:t>
      </w:r>
      <w:r>
        <w:rPr>
          <w:sz w:val="18"/>
          <w:szCs w:val="18"/>
        </w:rPr>
        <w:t xml:space="preserve">(&lt;75% </w:t>
      </w:r>
      <w:proofErr w:type="spellStart"/>
      <w:r>
        <w:rPr>
          <w:sz w:val="18"/>
          <w:szCs w:val="18"/>
        </w:rPr>
        <w:t>tumour</w:t>
      </w:r>
      <w:proofErr w:type="spellEnd"/>
      <w:r>
        <w:rPr>
          <w:sz w:val="18"/>
          <w:szCs w:val="18"/>
        </w:rPr>
        <w:t xml:space="preserve"> staining)</w:t>
      </w:r>
    </w:p>
    <w:p w14:paraId="66AC66B3" w14:textId="77777777" w:rsidR="00880B8E" w:rsidRDefault="00880B8E">
      <w:pPr>
        <w:pStyle w:val="Body"/>
      </w:pPr>
    </w:p>
    <w:p w14:paraId="7EECBDC9" w14:textId="77777777" w:rsidR="00880B8E" w:rsidRDefault="00880B8E">
      <w:pPr>
        <w:pStyle w:val="Body"/>
      </w:pPr>
    </w:p>
    <w:p w14:paraId="5B39C346" w14:textId="77777777" w:rsidR="00880B8E" w:rsidRDefault="00000000">
      <w:pPr>
        <w:pStyle w:val="Body"/>
      </w:pPr>
      <w:r>
        <w:rPr>
          <w:b/>
          <w:bCs/>
        </w:rPr>
        <w:t xml:space="preserve">CLDN18.2 testing method </w:t>
      </w:r>
      <w:r>
        <w:t>(Protein expression by immunohistochemistry)</w:t>
      </w:r>
    </w:p>
    <w:p w14:paraId="52054CFD" w14:textId="77777777" w:rsidR="00880B8E" w:rsidRDefault="00000000">
      <w:pPr>
        <w:pStyle w:val="Body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(Select one)</w:t>
      </w:r>
    </w:p>
    <w:p w14:paraId="306769B7" w14:textId="77777777" w:rsidR="00880B8E" w:rsidRDefault="00880B8E">
      <w:pPr>
        <w:pStyle w:val="Body"/>
        <w:rPr>
          <w:sz w:val="18"/>
          <w:szCs w:val="18"/>
        </w:rPr>
      </w:pPr>
    </w:p>
    <w:p w14:paraId="0A4F693A" w14:textId="560BD686" w:rsidR="00880B8E" w:rsidRDefault="00000000">
      <w:pPr>
        <w:pStyle w:val="Body"/>
      </w:pPr>
      <w:r>
        <w:t xml:space="preserve">____ </w:t>
      </w:r>
      <w:r w:rsidR="006D38C8" w:rsidRPr="006D38C8">
        <w:t>HC IVD-approved test</w:t>
      </w:r>
      <w:r>
        <w:t xml:space="preserve">:  ___________________ </w:t>
      </w:r>
      <w:r>
        <w:rPr>
          <w:i/>
          <w:iCs/>
          <w:sz w:val="18"/>
          <w:szCs w:val="18"/>
        </w:rPr>
        <w:t>(Specify test/vendor)</w:t>
      </w:r>
    </w:p>
    <w:p w14:paraId="23847E16" w14:textId="77777777" w:rsidR="00880B8E" w:rsidRDefault="00880B8E">
      <w:pPr>
        <w:pStyle w:val="Body"/>
      </w:pPr>
    </w:p>
    <w:p w14:paraId="2CE5C552" w14:textId="5E29C763" w:rsidR="00880B8E" w:rsidRDefault="00000000">
      <w:pPr>
        <w:pStyle w:val="Body"/>
      </w:pPr>
      <w:r>
        <w:t xml:space="preserve">____ Laboratory-developed test:  ___________________ </w:t>
      </w:r>
      <w:r>
        <w:rPr>
          <w:i/>
          <w:iCs/>
          <w:sz w:val="18"/>
          <w:szCs w:val="18"/>
        </w:rPr>
        <w:t>(Specify test/vendor)</w:t>
      </w:r>
    </w:p>
    <w:p w14:paraId="05CF9E87" w14:textId="77777777" w:rsidR="00880B8E" w:rsidRDefault="00880B8E">
      <w:pPr>
        <w:pStyle w:val="Body"/>
      </w:pPr>
    </w:p>
    <w:p w14:paraId="09015C51" w14:textId="77777777" w:rsidR="00880B8E" w:rsidRDefault="00880B8E">
      <w:pPr>
        <w:pStyle w:val="Body"/>
      </w:pPr>
    </w:p>
    <w:p w14:paraId="143F368B" w14:textId="77777777" w:rsidR="00880B8E" w:rsidRDefault="00000000">
      <w:pPr>
        <w:pStyle w:val="Body"/>
        <w:rPr>
          <w:b/>
          <w:bCs/>
        </w:rPr>
      </w:pPr>
      <w:r>
        <w:rPr>
          <w:b/>
          <w:bCs/>
        </w:rPr>
        <w:t>Notes</w:t>
      </w:r>
    </w:p>
    <w:p w14:paraId="581C1EED" w14:textId="77777777" w:rsidR="00880B8E" w:rsidRDefault="00880B8E">
      <w:pPr>
        <w:pStyle w:val="Body"/>
        <w:rPr>
          <w:b/>
          <w:bCs/>
        </w:rPr>
      </w:pPr>
    </w:p>
    <w:p w14:paraId="49DB5F49" w14:textId="77777777" w:rsidR="00880B8E" w:rsidRDefault="00000000">
      <w:pPr>
        <w:pStyle w:val="Body"/>
      </w:pPr>
      <w:r>
        <w:rPr>
          <w:b/>
          <w:bCs/>
        </w:rPr>
        <w:t>_____________________________________________________________________________________</w:t>
      </w:r>
      <w:r>
        <w:rPr>
          <w:b/>
          <w:bCs/>
        </w:rPr>
        <w:br/>
      </w:r>
      <w:r>
        <w:rPr>
          <w:b/>
          <w:bCs/>
        </w:rPr>
        <w:br/>
        <w:t>_____________________________________________________________________________________</w:t>
      </w:r>
      <w:r>
        <w:rPr>
          <w:b/>
          <w:bCs/>
        </w:rPr>
        <w:br/>
      </w:r>
      <w:r>
        <w:rPr>
          <w:b/>
          <w:bCs/>
        </w:rPr>
        <w:br/>
        <w:t>_____________________________________________________________________________________</w:t>
      </w:r>
      <w:r>
        <w:rPr>
          <w:b/>
          <w:bCs/>
        </w:rPr>
        <w:br/>
      </w:r>
    </w:p>
    <w:p w14:paraId="7FE350A7" w14:textId="77777777" w:rsidR="00880B8E" w:rsidRDefault="00880B8E">
      <w:pPr>
        <w:pStyle w:val="Body"/>
      </w:pPr>
    </w:p>
    <w:p w14:paraId="4E9A0E67" w14:textId="77777777" w:rsidR="00880B8E" w:rsidRDefault="00000000">
      <w:pPr>
        <w:pStyle w:val="Body"/>
        <w:rPr>
          <w:sz w:val="16"/>
          <w:szCs w:val="16"/>
        </w:rPr>
      </w:pPr>
      <w:r>
        <w:rPr>
          <w:sz w:val="16"/>
          <w:szCs w:val="16"/>
        </w:rPr>
        <w:t>The CLDN18.2 Expert Committee is comprised of some of the world</w:t>
      </w:r>
      <w:r>
        <w:rPr>
          <w:sz w:val="16"/>
          <w:szCs w:val="16"/>
          <w:rtl/>
        </w:rPr>
        <w:t>’</w:t>
      </w:r>
      <w:r>
        <w:rPr>
          <w:sz w:val="16"/>
          <w:szCs w:val="16"/>
        </w:rPr>
        <w:t xml:space="preserve">s leading pathologists, including Matteo </w:t>
      </w:r>
      <w:proofErr w:type="spellStart"/>
      <w:r>
        <w:rPr>
          <w:sz w:val="16"/>
          <w:szCs w:val="16"/>
        </w:rPr>
        <w:t>Fassan</w:t>
      </w:r>
      <w:proofErr w:type="spellEnd"/>
      <w:r>
        <w:rPr>
          <w:sz w:val="16"/>
          <w:szCs w:val="16"/>
        </w:rPr>
        <w:t xml:space="preserve">, MD, PhD, Takeshi Kuwata, MD, PhD, Kristina A. </w:t>
      </w:r>
      <w:proofErr w:type="spellStart"/>
      <w:r>
        <w:rPr>
          <w:sz w:val="16"/>
          <w:szCs w:val="16"/>
        </w:rPr>
        <w:t>Matkowskyj</w:t>
      </w:r>
      <w:proofErr w:type="spellEnd"/>
      <w:r>
        <w:rPr>
          <w:sz w:val="16"/>
          <w:szCs w:val="16"/>
        </w:rPr>
        <w:t>, MD, PhD, Christoph R</w:t>
      </w:r>
      <w:r>
        <w:rPr>
          <w:sz w:val="16"/>
          <w:szCs w:val="16"/>
          <w:lang w:val="sv-SE"/>
        </w:rPr>
        <w:t>ö</w:t>
      </w:r>
      <w:r>
        <w:rPr>
          <w:sz w:val="16"/>
          <w:szCs w:val="16"/>
          <w:lang w:val="de-DE"/>
        </w:rPr>
        <w:t>cken, MD, and Josef H. R</w:t>
      </w:r>
      <w:proofErr w:type="spellStart"/>
      <w:r>
        <w:rPr>
          <w:sz w:val="16"/>
          <w:szCs w:val="16"/>
        </w:rPr>
        <w:t>üschoff</w:t>
      </w:r>
      <w:proofErr w:type="spellEnd"/>
      <w:r>
        <w:rPr>
          <w:sz w:val="16"/>
          <w:szCs w:val="16"/>
        </w:rPr>
        <w:t>, MD. The members of the committee have been contracted as paid advisors through Astellas Pharma Inc. and have received compensation for their time.</w:t>
      </w:r>
    </w:p>
    <w:p w14:paraId="0727694D" w14:textId="77777777" w:rsidR="00880B8E" w:rsidRDefault="00880B8E">
      <w:pPr>
        <w:pStyle w:val="Body"/>
        <w:rPr>
          <w:sz w:val="16"/>
          <w:szCs w:val="16"/>
        </w:rPr>
      </w:pPr>
    </w:p>
    <w:p w14:paraId="0DFF6752" w14:textId="1FA7686D" w:rsidR="00880B8E" w:rsidRDefault="00000000">
      <w:pPr>
        <w:pStyle w:val="Body"/>
        <w:rPr>
          <w:sz w:val="16"/>
          <w:szCs w:val="16"/>
        </w:rPr>
      </w:pPr>
      <w:r>
        <w:rPr>
          <w:sz w:val="16"/>
          <w:szCs w:val="16"/>
          <w:lang w:val="de-DE"/>
        </w:rPr>
        <w:t>IHC = Immunohistochemi</w:t>
      </w:r>
      <w:r w:rsidR="008423A1">
        <w:rPr>
          <w:sz w:val="16"/>
          <w:szCs w:val="16"/>
          <w:lang w:val="de-DE"/>
        </w:rPr>
        <w:t>stry</w:t>
      </w:r>
      <w:r w:rsidR="006D38C8">
        <w:rPr>
          <w:sz w:val="16"/>
          <w:szCs w:val="16"/>
          <w:lang w:val="de-DE"/>
        </w:rPr>
        <w:br/>
      </w:r>
      <w:r w:rsidR="006D38C8" w:rsidRPr="006D38C8">
        <w:rPr>
          <w:sz w:val="16"/>
          <w:szCs w:val="16"/>
        </w:rPr>
        <w:t>G/GEJ = gastric/gastroesophageal junction</w:t>
      </w:r>
      <w:r w:rsidR="006D38C8">
        <w:rPr>
          <w:sz w:val="16"/>
          <w:szCs w:val="16"/>
        </w:rPr>
        <w:br/>
      </w:r>
      <w:r w:rsidR="006D38C8" w:rsidRPr="006D38C8">
        <w:rPr>
          <w:sz w:val="16"/>
          <w:szCs w:val="16"/>
        </w:rPr>
        <w:t>CLDN = claudin</w:t>
      </w:r>
      <w:r w:rsidR="006D38C8">
        <w:rPr>
          <w:sz w:val="16"/>
          <w:szCs w:val="16"/>
        </w:rPr>
        <w:br/>
      </w:r>
      <w:r w:rsidR="006D38C8" w:rsidRPr="006D38C8">
        <w:rPr>
          <w:sz w:val="16"/>
          <w:szCs w:val="16"/>
        </w:rPr>
        <w:t>IVD = in vitro diagnostics</w:t>
      </w:r>
      <w:r w:rsidR="006D38C8">
        <w:rPr>
          <w:sz w:val="16"/>
          <w:szCs w:val="16"/>
        </w:rPr>
        <w:br/>
      </w:r>
      <w:r w:rsidR="006D38C8" w:rsidRPr="006D38C8">
        <w:rPr>
          <w:sz w:val="16"/>
          <w:szCs w:val="16"/>
        </w:rPr>
        <w:t>HC = Health Canada</w:t>
      </w:r>
    </w:p>
    <w:p w14:paraId="11B5A310" w14:textId="52F6B926" w:rsidR="00880B8E" w:rsidRDefault="006D38C8">
      <w:pPr>
        <w:pStyle w:val="Body"/>
      </w:pPr>
      <w:r>
        <w:rPr>
          <w:sz w:val="16"/>
          <w:szCs w:val="16"/>
        </w:rPr>
        <w:br/>
      </w:r>
      <w:r>
        <w:rPr>
          <w:rFonts w:ascii="Times New Roman" w:hAnsi="Times New Roman" w:cs="Times New Roman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6D38C8">
        <w:rPr>
          <w:sz w:val="16"/>
          <w:szCs w:val="16"/>
        </w:rPr>
        <w:t xml:space="preserve">©2025 Astellas Pharma Inc. MAT-CA-NON-2025-00069 </w:t>
      </w:r>
      <w:proofErr w:type="spellStart"/>
      <w:r w:rsidRPr="006D38C8">
        <w:rPr>
          <w:sz w:val="16"/>
          <w:szCs w:val="16"/>
        </w:rPr>
        <w:t>april</w:t>
      </w:r>
      <w:proofErr w:type="spellEnd"/>
      <w:r w:rsidRPr="006D38C8">
        <w:rPr>
          <w:sz w:val="16"/>
          <w:szCs w:val="16"/>
        </w:rPr>
        <w:t xml:space="preserve"> 2025</w:t>
      </w:r>
    </w:p>
    <w:sectPr w:rsidR="00880B8E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E01E3" w14:textId="77777777" w:rsidR="00E46AFB" w:rsidRDefault="00E46AFB">
      <w:r>
        <w:separator/>
      </w:r>
    </w:p>
  </w:endnote>
  <w:endnote w:type="continuationSeparator" w:id="0">
    <w:p w14:paraId="4E60F93B" w14:textId="77777777" w:rsidR="00E46AFB" w:rsidRDefault="00E4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A4379" w14:textId="77777777" w:rsidR="00880B8E" w:rsidRDefault="00880B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3BA45" w14:textId="77777777" w:rsidR="00E46AFB" w:rsidRDefault="00E46AFB">
      <w:r>
        <w:separator/>
      </w:r>
    </w:p>
  </w:footnote>
  <w:footnote w:type="continuationSeparator" w:id="0">
    <w:p w14:paraId="4BBADE5E" w14:textId="77777777" w:rsidR="00E46AFB" w:rsidRDefault="00E46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7AA2" w14:textId="77777777" w:rsidR="00880B8E" w:rsidRDefault="00880B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8E"/>
    <w:rsid w:val="006271CD"/>
    <w:rsid w:val="006D38C8"/>
    <w:rsid w:val="00710345"/>
    <w:rsid w:val="008423A1"/>
    <w:rsid w:val="00880B8E"/>
    <w:rsid w:val="00D648C5"/>
    <w:rsid w:val="00E4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AC9C5"/>
  <w15:docId w15:val="{E2C4148D-5958-FA42-B58B-3D4A9520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Jaiprakash Kadam, A.</dc:creator>
  <cp:lastModifiedBy>Jaiprakash Kadam, A.</cp:lastModifiedBy>
  <cp:revision>2</cp:revision>
  <dcterms:created xsi:type="dcterms:W3CDTF">2025-04-08T15:12:00Z</dcterms:created>
  <dcterms:modified xsi:type="dcterms:W3CDTF">2025-04-08T15:12:00Z</dcterms:modified>
</cp:coreProperties>
</file>